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职业教育楼房及附属基础设施设备项目前期费用</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职业教育楼房及附属基础设施设备项目前期费用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实施单位：阜康市职业中等专业学校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主管部门：阜康市职业中等专业学校</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职业教育楼房及附属基础设施设备项目前期费用</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bidi w:val="0"/>
        <w:rPr>
          <w:rFonts w:hint="eastAsia"/>
          <w:color w:val="auto"/>
          <w:lang w:val="en-US" w:eastAsia="zh-CN"/>
        </w:rPr>
      </w:pPr>
      <w:r>
        <w:rPr>
          <w:rFonts w:hint="eastAsia"/>
          <w:color w:val="auto"/>
          <w:lang w:val="en-US" w:eastAsia="zh-CN"/>
        </w:rPr>
        <w:t>阜康市职业中等专业学校是以全日制中等职业教育、技工教育、现代远程高等教育、各类职业培训与鉴定等为主的公立综合类职业院校和高技能人才培训基地。立足乌昌、面向全疆、辐射西北，培养高素质技术技能型专门人才，服务地区经济社会发展。</w:t>
      </w:r>
    </w:p>
    <w:p>
      <w:pPr>
        <w:bidi w:val="0"/>
        <w:rPr>
          <w:rFonts w:hint="eastAsia"/>
          <w:color w:val="auto"/>
          <w:lang w:val="en-US" w:eastAsia="zh-CN"/>
        </w:rPr>
      </w:pPr>
      <w:r>
        <w:rPr>
          <w:rFonts w:hint="eastAsia"/>
          <w:color w:val="auto"/>
          <w:lang w:val="en-US" w:eastAsia="zh-CN"/>
        </w:rPr>
        <w:t>但从总体上看，职业教育仍然是阜康市教育事业发展中的薄弱环节，存在着发展不平衡、投入不足、办学基础设施不完善等问题，不能很好满足经济社会发展对专业技术人才的需求。</w:t>
      </w:r>
    </w:p>
    <w:p>
      <w:pPr>
        <w:bidi w:val="0"/>
        <w:rPr>
          <w:rFonts w:hint="eastAsia"/>
          <w:color w:val="auto"/>
          <w:lang w:val="en-US" w:eastAsia="zh-CN"/>
        </w:rPr>
      </w:pPr>
      <w:r>
        <w:rPr>
          <w:rFonts w:hint="eastAsia"/>
          <w:color w:val="auto"/>
          <w:lang w:val="en-US" w:eastAsia="zh-CN"/>
        </w:rPr>
        <w:t>阜康市委、市人民政府为尽快改善阜康市职业中等专业学校办学条件，加快基础设施建设，提升职业教育的综合实践功能，解决产业带动经济发展中专业人才需求不足的“瓶颈”问题，将阜康市职业中等专业学校打造成一所配套设施齐全的中等职业教育中心，助力阜康市加快培养适应当地产业发展的大批高素质劳动者和技能型人才，提出实施阜康市职业教育基础设施及设备建设项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：可行性研究报告、修建性详细规划、地勘、测绘、水土保持方案、初步设计、施工图设计等。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：阜康市职业中等专业学校与阜康市项目代建中心以会议形式确定，通过政采云平台进行采购。目前都已实施完毕。</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职业教育楼房及附属基础设施设备项目前期费用</w:t>
      </w:r>
      <w:r>
        <w:rPr>
          <w:rFonts w:hint="eastAsia" w:ascii="宋体" w:hAnsi="宋体" w:eastAsia="宋体" w:cs="宋体"/>
          <w:color w:val="auto"/>
          <w:highlight w:val="none"/>
          <w:shd w:val="clear" w:color="auto" w:fill="auto"/>
          <w:lang w:val="en-US" w:eastAsia="zh-CN"/>
        </w:rPr>
        <w:t>项目预算安排总额为</w:t>
      </w:r>
      <w:r>
        <w:rPr>
          <w:rFonts w:hint="eastAsia" w:cs="宋体"/>
          <w:color w:val="auto"/>
          <w:highlight w:val="none"/>
          <w:shd w:val="clear" w:color="auto" w:fill="auto"/>
          <w:lang w:val="en-US" w:eastAsia="zh-CN"/>
        </w:rPr>
        <w:t>92.2</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金92.2</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92.2</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截止2022年12月31日，职业教育楼房及附属基础设施设备项目前期费用</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92.2</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楼房改造和附属设施建设等方面。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职业教育楼房及附属基础设施设备项目前期费用项目绩效总体目标为：职能：为社会提供学历、技术人才教育培训服务成人与职业专业学历教育；目标：新建6栋楼前期费用,改善当地职业教育条件和水平,提升学历、保障地区经济发展所需技能型人才供给,为社会、学校和学生培养技术人才数量及质量可持续</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项目资金支持学校</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计划建楼前期费用</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指标，预期指标值为6栋；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工程验收合格率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资金支付准确率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资金拨付及时率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项目周期</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2021.8-2022.12月</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项目前期费用</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92.2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项目预算控制率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改善当地职业教育条件和水平</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改善</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提升学历、保障地区经济发展所需技能型人才供给</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保障</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为当地培养技术人才数量及质量可持续</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指标，预期指标值为长期；</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学校满意度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指标，预期指标值为≥90%</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1664"/>
      <w:bookmarkStart w:id="1" w:name="_Toc22922"/>
      <w:bookmarkStart w:id="2" w:name="_Toc22169_WPSOffice_Level2"/>
      <w:bookmarkStart w:id="3" w:name="_Toc26632"/>
      <w:bookmarkStart w:id="4" w:name="_Toc12868"/>
      <w:bookmarkStart w:id="5" w:name="_Toc480473081"/>
      <w:bookmarkStart w:id="6" w:name="_Toc5258"/>
      <w:bookmarkStart w:id="7" w:name="_Toc5462343"/>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职业教育楼房及附属基础设施设备项目前期费用</w:t>
      </w:r>
      <w:r>
        <w:rPr>
          <w:rFonts w:hint="eastAsia" w:ascii="宋体" w:hAnsi="宋体" w:eastAsia="宋体" w:cs="宋体"/>
          <w:color w:val="auto"/>
          <w:highlight w:val="none"/>
          <w:shd w:val="clear" w:color="auto" w:fill="auto"/>
          <w:lang w:val="en-US" w:eastAsia="zh-CN"/>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职业教育楼房及附属基础设施设备项目前期费用</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28278230"/>
      <w:bookmarkStart w:id="9" w:name="_Toc419984722"/>
      <w:bookmarkStart w:id="10" w:name="_Toc26131"/>
      <w:bookmarkStart w:id="11" w:name="_Toc1913"/>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职业教育楼房及附属基础设施设备项目前期费用</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职业教育楼房及附属基础设施设备项目前期费用</w:t>
      </w:r>
      <w:r>
        <w:rPr>
          <w:rFonts w:hint="eastAsia" w:ascii="宋体" w:hAnsi="宋体" w:eastAsia="宋体" w:cs="宋体"/>
          <w:b w:val="0"/>
          <w:bCs w:val="0"/>
          <w:color w:val="auto"/>
          <w:kern w:val="2"/>
          <w:sz w:val="28"/>
          <w:szCs w:val="24"/>
          <w:highlight w:val="none"/>
          <w:shd w:val="clear" w:color="auto" w:fill="auto"/>
          <w:lang w:val="en-US" w:eastAsia="zh-CN" w:bidi="ar-SA"/>
        </w:rPr>
        <w:t>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职业教育楼房及附属基础设施设备项目前期费用</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val="en-US" w:eastAsia="zh-CN"/>
              </w:rPr>
              <w:t>职业教育楼房及附属基础设施设备项目前期费用</w:t>
            </w:r>
            <w:r>
              <w:rPr>
                <w:rFonts w:hint="eastAsia" w:ascii="宋体" w:hAnsi="宋体" w:eastAsia="宋体" w:cs="宋体"/>
                <w:b/>
                <w:bCs/>
                <w:color w:val="auto"/>
                <w:kern w:val="0"/>
                <w:sz w:val="28"/>
                <w:szCs w:val="28"/>
                <w:highlight w:val="none"/>
                <w:shd w:val="clear" w:color="auto" w:fill="auto"/>
                <w:lang w:val="en-US" w:eastAsia="zh-CN"/>
              </w:rPr>
              <w:t>项目得分表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1.立项依据充分性</w:t>
      </w:r>
    </w:p>
    <w:p>
      <w:pPr>
        <w:bidi w:val="0"/>
        <w:rPr>
          <w:rFonts w:hint="eastAsia"/>
          <w:color w:val="auto"/>
          <w:lang w:eastAsia="zh-CN"/>
        </w:rPr>
      </w:pPr>
      <w:r>
        <w:rPr>
          <w:rFonts w:hint="eastAsia"/>
          <w:color w:val="auto"/>
          <w:lang w:eastAsia="zh-CN"/>
        </w:rPr>
        <w:t>①依据昌州财教20</w:t>
      </w:r>
      <w:r>
        <w:rPr>
          <w:rFonts w:hint="eastAsia"/>
          <w:color w:val="auto"/>
          <w:lang w:val="en-US" w:eastAsia="zh-CN"/>
        </w:rPr>
        <w:t>21</w:t>
      </w:r>
      <w:r>
        <w:rPr>
          <w:rFonts w:hint="eastAsia"/>
          <w:color w:val="auto"/>
          <w:lang w:eastAsia="zh-CN"/>
        </w:rPr>
        <w:t>-4</w:t>
      </w:r>
      <w:r>
        <w:rPr>
          <w:rFonts w:hint="eastAsia"/>
          <w:color w:val="auto"/>
          <w:lang w:val="en-US" w:eastAsia="zh-CN"/>
        </w:rPr>
        <w:t>5</w:t>
      </w:r>
      <w:r>
        <w:rPr>
          <w:rFonts w:hint="eastAsia"/>
          <w:color w:val="auto"/>
          <w:lang w:eastAsia="zh-CN"/>
        </w:rPr>
        <w:t>号自治区第七批地方债券转贷资金的通知，职业教育楼房及附属基础设施设备项目前期费用项目立项符合国家法律法规、国民经济发展规划和相关政策；</w:t>
      </w:r>
    </w:p>
    <w:p>
      <w:pPr>
        <w:bidi w:val="0"/>
        <w:rPr>
          <w:rFonts w:hint="eastAsia"/>
          <w:color w:val="auto"/>
          <w:lang w:eastAsia="zh-CN"/>
        </w:rPr>
      </w:pPr>
      <w:r>
        <w:rPr>
          <w:rFonts w:hint="eastAsia"/>
          <w:color w:val="auto"/>
          <w:lang w:eastAsia="zh-CN"/>
        </w:rPr>
        <w:t>②职业教育楼房及附属基础设施设备项目前期费用项目改造工程项目立项符合行业发展规划和政策要求；</w:t>
      </w:r>
    </w:p>
    <w:p>
      <w:pPr>
        <w:bidi w:val="0"/>
        <w:rPr>
          <w:rFonts w:hint="eastAsia"/>
          <w:color w:val="auto"/>
          <w:lang w:eastAsia="zh-CN"/>
        </w:rPr>
      </w:pPr>
      <w:r>
        <w:rPr>
          <w:rFonts w:hint="eastAsia"/>
          <w:color w:val="auto"/>
          <w:lang w:eastAsia="zh-CN"/>
        </w:rPr>
        <w:t>③职业教育楼房及附属基础设施设备项目前期费用项目立项与部门职责范围相符，属于部门履职所需；</w:t>
      </w:r>
    </w:p>
    <w:p>
      <w:pPr>
        <w:bidi w:val="0"/>
        <w:rPr>
          <w:rFonts w:hint="eastAsia"/>
          <w:color w:val="auto"/>
          <w:lang w:eastAsia="zh-CN"/>
        </w:rPr>
      </w:pPr>
      <w:r>
        <w:rPr>
          <w:rFonts w:hint="eastAsia"/>
          <w:color w:val="auto"/>
          <w:lang w:eastAsia="zh-CN"/>
        </w:rPr>
        <w:t>④职业教育楼房及附属基础设施设备项目前期费用项目属于公共财政支持范围，符合中央、地方事权支出责任划分原则；</w:t>
      </w:r>
    </w:p>
    <w:p>
      <w:pPr>
        <w:bidi w:val="0"/>
        <w:rPr>
          <w:rFonts w:hint="eastAsia"/>
          <w:color w:val="auto"/>
          <w:lang w:eastAsia="zh-CN"/>
        </w:rPr>
      </w:pPr>
      <w:r>
        <w:rPr>
          <w:rFonts w:hint="eastAsia"/>
          <w:color w:val="auto"/>
          <w:lang w:eastAsia="zh-CN"/>
        </w:rPr>
        <w:t>⑤职业教育楼房及附属基础设施设备项目前期费用项目与相关部门同类项目或部门内部相关项目不重复。</w:t>
      </w:r>
    </w:p>
    <w:p>
      <w:pPr>
        <w:bidi w:val="0"/>
        <w:rPr>
          <w:rFonts w:hint="eastAsia"/>
          <w:color w:val="auto"/>
          <w:lang w:eastAsia="zh-CN"/>
        </w:rPr>
      </w:pPr>
      <w:r>
        <w:rPr>
          <w:rFonts w:hint="eastAsia"/>
          <w:color w:val="auto"/>
          <w:lang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①职业教育楼房及附属基础设施设备项目前期费用项目按照规定的程序申请设立；</w:t>
      </w:r>
    </w:p>
    <w:p>
      <w:pPr>
        <w:bidi w:val="0"/>
        <w:rPr>
          <w:rFonts w:hint="eastAsia"/>
          <w:color w:val="auto"/>
          <w:lang w:eastAsia="zh-CN"/>
        </w:rPr>
      </w:pPr>
      <w:r>
        <w:rPr>
          <w:rFonts w:hint="eastAsia"/>
          <w:color w:val="auto"/>
          <w:lang w:eastAsia="zh-CN"/>
        </w:rPr>
        <w:t>②职业教育楼房及附属基础设施设备项目前期费用审批文件、材料符合相关要求；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③事前经过必要的可行性研究、专家论证、风险评估、绩效评估、集体决策。</w:t>
      </w:r>
    </w:p>
    <w:p>
      <w:pPr>
        <w:bidi w:val="0"/>
        <w:rPr>
          <w:rFonts w:hint="eastAsia"/>
          <w:color w:val="auto"/>
          <w:lang w:eastAsia="zh-CN"/>
        </w:rPr>
      </w:pPr>
      <w:r>
        <w:rPr>
          <w:rFonts w:hint="eastAsia"/>
          <w:b/>
          <w:bCs/>
          <w:color w:val="auto"/>
          <w:highlight w:val="none"/>
          <w:lang w:val="en-US" w:eastAsia="zh-CN"/>
        </w:rPr>
        <w:t>综上，</w:t>
      </w:r>
      <w:r>
        <w:rPr>
          <w:rFonts w:hint="eastAsia"/>
          <w:b/>
          <w:bCs/>
          <w:color w:val="auto"/>
          <w:lang w:val="en-US" w:eastAsia="zh-CN"/>
        </w:rPr>
        <w:t>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①职业教育楼房及附属基础设施设备项目前期费用项目有绩效目标；</w:t>
      </w:r>
    </w:p>
    <w:p>
      <w:pPr>
        <w:bidi w:val="0"/>
        <w:rPr>
          <w:rFonts w:hint="eastAsia"/>
          <w:color w:val="auto"/>
          <w:lang w:eastAsia="zh-CN"/>
        </w:rPr>
      </w:pPr>
      <w:r>
        <w:rPr>
          <w:rFonts w:hint="eastAsia"/>
          <w:color w:val="auto"/>
          <w:lang w:eastAsia="zh-CN"/>
        </w:rPr>
        <w:t>②职业教育楼房及附属基础设施设备项目前期费用项目绩效目标与实际工作内容具有相关性；</w:t>
      </w:r>
    </w:p>
    <w:p>
      <w:pPr>
        <w:bidi w:val="0"/>
        <w:rPr>
          <w:rFonts w:hint="eastAsia"/>
          <w:color w:val="auto"/>
          <w:lang w:eastAsia="zh-CN"/>
        </w:rPr>
      </w:pPr>
      <w:r>
        <w:rPr>
          <w:rFonts w:hint="eastAsia"/>
          <w:color w:val="auto"/>
          <w:lang w:eastAsia="zh-CN"/>
        </w:rPr>
        <w:t>③职业教育楼房及附属基础设施设备项目前期费用项目预期产出效益和效果符合正常的业绩水平；</w:t>
      </w:r>
    </w:p>
    <w:p>
      <w:pPr>
        <w:bidi w:val="0"/>
        <w:rPr>
          <w:rFonts w:hint="eastAsia"/>
          <w:color w:val="auto"/>
          <w:lang w:eastAsia="zh-CN"/>
        </w:rPr>
      </w:pPr>
      <w:r>
        <w:rPr>
          <w:rFonts w:hint="eastAsia"/>
          <w:color w:val="auto"/>
          <w:lang w:eastAsia="zh-CN"/>
        </w:rPr>
        <w:t>④职业教育楼房及附属基础设施设备项目前期费用与预算确定的项目投资额或资金量相匹配。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①职业教育楼房及附属基础设施设备项目前期费用将项目绩效目标细化分解为具体的绩效指标；</w:t>
      </w:r>
    </w:p>
    <w:p>
      <w:pPr>
        <w:bidi w:val="0"/>
        <w:rPr>
          <w:rFonts w:hint="eastAsia"/>
          <w:color w:val="auto"/>
          <w:lang w:eastAsia="zh-CN"/>
        </w:rPr>
      </w:pPr>
      <w:r>
        <w:rPr>
          <w:rFonts w:hint="eastAsia"/>
          <w:color w:val="auto"/>
          <w:lang w:eastAsia="zh-CN"/>
        </w:rPr>
        <w:t>②职业教育楼房及附属基础设施设备项目前期费用通过清晰、可衡量的指标值予以体现；</w:t>
      </w:r>
    </w:p>
    <w:p>
      <w:pPr>
        <w:bidi w:val="0"/>
        <w:rPr>
          <w:rFonts w:hint="eastAsia"/>
          <w:color w:val="auto"/>
          <w:lang w:eastAsia="zh-CN"/>
        </w:rPr>
      </w:pPr>
      <w:r>
        <w:rPr>
          <w:rFonts w:hint="eastAsia"/>
          <w:color w:val="auto"/>
          <w:lang w:eastAsia="zh-CN"/>
        </w:rPr>
        <w:t>③职业教育楼房及附属基础设施设备项目前期费用与项目目标任务数或计划数相对应。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92.2</w:t>
      </w:r>
      <w:r>
        <w:rPr>
          <w:rFonts w:hint="eastAsia"/>
          <w:color w:val="auto"/>
          <w:lang w:eastAsia="zh-CN"/>
        </w:rPr>
        <w:t>/</w:t>
      </w:r>
      <w:r>
        <w:rPr>
          <w:rFonts w:hint="eastAsia"/>
          <w:color w:val="auto"/>
          <w:lang w:val="en-US" w:eastAsia="zh-CN"/>
        </w:rPr>
        <w:t>92.2</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92.2</w:t>
      </w:r>
      <w:r>
        <w:rPr>
          <w:rFonts w:hint="eastAsia"/>
          <w:color w:val="auto"/>
          <w:lang w:eastAsia="zh-CN"/>
        </w:rPr>
        <w:t>/</w:t>
      </w:r>
      <w:r>
        <w:rPr>
          <w:rFonts w:hint="eastAsia"/>
          <w:color w:val="auto"/>
          <w:lang w:val="en-US" w:eastAsia="zh-CN"/>
        </w:rPr>
        <w:t>92.2</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color w:val="auto"/>
          <w:lang w:eastAsia="zh-CN"/>
        </w:rPr>
      </w:pPr>
      <w:r>
        <w:rPr>
          <w:rFonts w:hint="eastAsia"/>
          <w:color w:val="auto"/>
          <w:lang w:eastAsia="zh-CN"/>
        </w:rPr>
        <w:t>①符合阜康市职业中等专业学校根据国家相关法规和内部控制等制度文件汇编，我校建立《阜康市职业中等专业学校内部会计管理制度汇编》、《阜康市职业中等专业学校“三公经费”预算管理和公开制度》等各项规章制度和工作程序，从制度和程序上严把资金使用、管理、绩效等各环节关口，堵塞漏洞、消除隐患，严格按财务制度完成支付；</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④不存在截留、挤占、挪用、虚列支出等情况。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numPr>
          <w:ilvl w:val="0"/>
          <w:numId w:val="4"/>
        </w:numPr>
        <w:bidi w:val="0"/>
        <w:rPr>
          <w:rFonts w:hint="eastAsia"/>
          <w:b/>
          <w:bCs/>
          <w:color w:val="auto"/>
          <w:lang w:val="en-US" w:eastAsia="zh-CN"/>
        </w:rPr>
      </w:pPr>
      <w:r>
        <w:rPr>
          <w:rFonts w:hint="eastAsia"/>
          <w:b/>
          <w:bCs/>
          <w:color w:val="auto"/>
          <w:lang w:val="en-US" w:eastAsia="zh-CN"/>
        </w:rPr>
        <w:t>管理制度健全性</w:t>
      </w:r>
    </w:p>
    <w:p>
      <w:pPr>
        <w:numPr>
          <w:ilvl w:val="0"/>
          <w:numId w:val="0"/>
        </w:numPr>
        <w:bidi w:val="0"/>
        <w:ind w:firstLine="560" w:firstLineChars="200"/>
        <w:rPr>
          <w:rFonts w:hint="eastAsia"/>
          <w:color w:val="auto"/>
          <w:lang w:eastAsia="zh-CN"/>
        </w:rPr>
      </w:pPr>
      <w:r>
        <w:rPr>
          <w:rFonts w:hint="eastAsia"/>
          <w:color w:val="auto"/>
          <w:lang w:eastAsia="zh-CN"/>
        </w:rPr>
        <w:t>①已制定</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职业中等专业学校</w:t>
      </w:r>
      <w:r>
        <w:rPr>
          <w:rFonts w:hint="eastAsia"/>
          <w:color w:val="auto"/>
          <w:highlight w:val="none"/>
        </w:rPr>
        <w:t>内部控制等制度文件汇编，《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职业中等专业学校</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职业中等专业学校</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w:t>
      </w:r>
      <w:r>
        <w:rPr>
          <w:rFonts w:hint="eastAsia"/>
          <w:color w:val="auto"/>
          <w:lang w:eastAsia="zh-CN"/>
        </w:rPr>
        <w:t>；</w:t>
      </w:r>
    </w:p>
    <w:p>
      <w:pPr>
        <w:bidi w:val="0"/>
        <w:rPr>
          <w:rFonts w:hint="eastAsia"/>
          <w:color w:val="auto"/>
          <w:lang w:eastAsia="zh-CN"/>
        </w:rPr>
      </w:pPr>
      <w:r>
        <w:rPr>
          <w:rFonts w:hint="eastAsia"/>
          <w:color w:val="auto"/>
          <w:lang w:eastAsia="zh-CN"/>
        </w:rPr>
        <w:t>②</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职业中等专业学校</w:t>
      </w:r>
      <w:r>
        <w:rPr>
          <w:rFonts w:hint="eastAsia"/>
          <w:color w:val="auto"/>
          <w:lang w:eastAsia="zh-CN"/>
        </w:rPr>
        <w:t>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w:t>
      </w:r>
      <w:r>
        <w:rPr>
          <w:rFonts w:hint="eastAsia"/>
          <w:color w:val="auto"/>
          <w:lang w:val="en-US" w:eastAsia="zh-CN"/>
        </w:rPr>
        <w:t>能</w:t>
      </w:r>
      <w:r>
        <w:rPr>
          <w:rFonts w:hint="eastAsia"/>
          <w:color w:val="auto"/>
          <w:lang w:eastAsia="zh-CN"/>
        </w:rPr>
        <w:t>遵守相关法律法规和相关管理规定；</w:t>
      </w:r>
    </w:p>
    <w:p>
      <w:pPr>
        <w:bidi w:val="0"/>
        <w:rPr>
          <w:rFonts w:hint="eastAsia"/>
          <w:color w:val="auto"/>
          <w:lang w:eastAsia="zh-CN"/>
        </w:rPr>
      </w:pPr>
      <w:r>
        <w:rPr>
          <w:rFonts w:hint="eastAsia"/>
          <w:color w:val="auto"/>
          <w:lang w:eastAsia="zh-CN"/>
        </w:rPr>
        <w:t>②项目调整及支出调整手续完备；</w:t>
      </w:r>
    </w:p>
    <w:p>
      <w:pPr>
        <w:bidi w:val="0"/>
        <w:rPr>
          <w:rFonts w:hint="eastAsia"/>
          <w:color w:val="auto"/>
          <w:lang w:eastAsia="zh-CN"/>
        </w:rPr>
      </w:pPr>
      <w:r>
        <w:rPr>
          <w:rFonts w:hint="eastAsia"/>
          <w:color w:val="auto"/>
          <w:lang w:eastAsia="zh-CN"/>
        </w:rPr>
        <w:t>③项目合同书、验收报告、技术鉴定等资料齐全并及时归档；</w:t>
      </w:r>
    </w:p>
    <w:p>
      <w:pPr>
        <w:bidi w:val="0"/>
        <w:rPr>
          <w:rFonts w:hint="eastAsia"/>
          <w:color w:val="auto"/>
          <w:lang w:eastAsia="zh-CN"/>
        </w:rPr>
      </w:pPr>
      <w:r>
        <w:rPr>
          <w:rFonts w:hint="eastAsia"/>
          <w:color w:val="auto"/>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8</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项目资金支持学校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default"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1所</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1所</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计划建楼前期费用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6栋</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6栋</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工程验收合格率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资金支付准确率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资金拨付及时率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项目周期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2021.8-2022.12</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2021.8-2022.12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项目前期费用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cs="宋体"/>
                <w:i w:val="0"/>
                <w:iCs w:val="0"/>
                <w:color w:val="auto"/>
                <w:kern w:val="0"/>
                <w:sz w:val="20"/>
                <w:szCs w:val="20"/>
                <w:u w:val="none"/>
                <w:lang w:val="en-US" w:eastAsia="zh-CN" w:bidi="ar"/>
              </w:rPr>
              <w:t>92.2</w:t>
            </w:r>
            <w:r>
              <w:rPr>
                <w:rFonts w:hint="eastAsia" w:ascii="宋体" w:hAnsi="宋体" w:eastAsia="宋体" w:cs="宋体"/>
                <w:i w:val="0"/>
                <w:iCs w:val="0"/>
                <w:color w:val="auto"/>
                <w:kern w:val="0"/>
                <w:sz w:val="20"/>
                <w:szCs w:val="20"/>
                <w:u w:val="none"/>
                <w:lang w:val="en-US" w:eastAsia="zh-CN" w:bidi="ar"/>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cs="宋体"/>
                <w:i w:val="0"/>
                <w:iCs w:val="0"/>
                <w:color w:val="auto"/>
                <w:kern w:val="0"/>
                <w:sz w:val="20"/>
                <w:szCs w:val="20"/>
                <w:u w:val="none"/>
                <w:lang w:val="en-US" w:eastAsia="zh-CN" w:bidi="ar"/>
              </w:rPr>
              <w:t>92.2</w:t>
            </w:r>
            <w:r>
              <w:rPr>
                <w:rFonts w:hint="eastAsia" w:ascii="宋体" w:hAnsi="宋体" w:eastAsia="宋体" w:cs="宋体"/>
                <w:i w:val="0"/>
                <w:iCs w:val="0"/>
                <w:color w:val="auto"/>
                <w:kern w:val="0"/>
                <w:sz w:val="20"/>
                <w:szCs w:val="20"/>
                <w:u w:val="none"/>
                <w:lang w:val="en-US" w:eastAsia="zh-CN" w:bidi="ar"/>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项目预算控制率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numPr>
          <w:ilvl w:val="0"/>
          <w:numId w:val="5"/>
        </w:numPr>
        <w:bidi w:val="0"/>
        <w:rPr>
          <w:rFonts w:hint="eastAsia"/>
          <w:b/>
          <w:bCs/>
          <w:color w:val="auto"/>
          <w:lang w:val="en-US" w:eastAsia="zh-CN"/>
        </w:rPr>
      </w:pPr>
      <w:r>
        <w:rPr>
          <w:rFonts w:hint="eastAsia"/>
          <w:b/>
          <w:bCs/>
          <w:color w:val="auto"/>
          <w:lang w:val="en-US" w:eastAsia="zh-CN"/>
        </w:rPr>
        <w:t>项目完成数量</w:t>
      </w:r>
    </w:p>
    <w:p>
      <w:pPr>
        <w:numPr>
          <w:ilvl w:val="0"/>
          <w:numId w:val="0"/>
        </w:numPr>
        <w:bidi w:val="0"/>
        <w:ind w:firstLine="560" w:firstLineChars="200"/>
        <w:rPr>
          <w:rFonts w:hint="eastAsia"/>
          <w:b w:val="0"/>
          <w:bCs w:val="0"/>
          <w:color w:val="auto"/>
          <w:lang w:val="en-US" w:eastAsia="zh-CN"/>
        </w:rPr>
      </w:pPr>
      <w:r>
        <w:rPr>
          <w:rFonts w:hint="eastAsia"/>
          <w:b w:val="0"/>
          <w:bCs w:val="0"/>
          <w:color w:val="auto"/>
          <w:lang w:val="en-US" w:eastAsia="zh-CN"/>
        </w:rPr>
        <w:t>“项目资金支持学校”指标，预期指标值为1所，实际完成为1所。实际完成率=（1/1）×100%=100%。</w:t>
      </w:r>
    </w:p>
    <w:p>
      <w:pPr>
        <w:numPr>
          <w:ilvl w:val="0"/>
          <w:numId w:val="0"/>
        </w:numPr>
        <w:bidi w:val="0"/>
        <w:ind w:firstLine="560" w:firstLineChars="200"/>
        <w:rPr>
          <w:rFonts w:hint="default"/>
          <w:b w:val="0"/>
          <w:bCs w:val="0"/>
          <w:color w:val="auto"/>
          <w:lang w:val="en-US" w:eastAsia="zh-CN"/>
        </w:rPr>
      </w:pPr>
      <w:r>
        <w:rPr>
          <w:rFonts w:hint="eastAsia"/>
          <w:b w:val="0"/>
          <w:bCs w:val="0"/>
          <w:color w:val="auto"/>
          <w:lang w:val="en-US" w:eastAsia="zh-CN"/>
        </w:rPr>
        <w:t>“计划建楼前期费用”指标，预期指标值为6栋，实际完成为6栋。实际完成率=（6/6）×100%=100%。</w:t>
      </w:r>
    </w:p>
    <w:p>
      <w:pPr>
        <w:bidi w:val="0"/>
        <w:rPr>
          <w:rFonts w:hint="eastAsia"/>
          <w:color w:val="auto"/>
          <w:lang w:eastAsia="zh-CN"/>
        </w:rPr>
      </w:pPr>
      <w:r>
        <w:rPr>
          <w:rFonts w:hint="eastAsia"/>
          <w:b/>
          <w:bCs/>
          <w:color w:val="auto"/>
          <w:lang w:val="en-US" w:eastAsia="zh-CN"/>
        </w:rPr>
        <w:t>综上，该项指标满分8分，得分8分。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项目完成质量</w:t>
      </w:r>
    </w:p>
    <w:p>
      <w:pPr>
        <w:numPr>
          <w:ilvl w:val="0"/>
          <w:numId w:val="0"/>
        </w:numPr>
        <w:bidi w:val="0"/>
        <w:ind w:firstLine="560" w:firstLineChars="200"/>
        <w:rPr>
          <w:rFonts w:hint="eastAsia"/>
          <w:b w:val="0"/>
          <w:bCs w:val="0"/>
          <w:color w:val="auto"/>
          <w:lang w:val="en-US" w:eastAsia="zh-CN"/>
        </w:rPr>
      </w:pPr>
      <w:r>
        <w:rPr>
          <w:rFonts w:hint="eastAsia"/>
          <w:b w:val="0"/>
          <w:bCs w:val="0"/>
          <w:color w:val="auto"/>
          <w:lang w:val="en-US" w:eastAsia="zh-CN"/>
        </w:rPr>
        <w:t>“工程验收合格率”指标，预期指标值为100%，实际完成为100%。</w:t>
      </w:r>
    </w:p>
    <w:p>
      <w:pPr>
        <w:numPr>
          <w:ilvl w:val="0"/>
          <w:numId w:val="0"/>
        </w:numPr>
        <w:bidi w:val="0"/>
        <w:ind w:firstLine="560" w:firstLineChars="200"/>
        <w:rPr>
          <w:rFonts w:hint="eastAsia"/>
          <w:b w:val="0"/>
          <w:bCs w:val="0"/>
          <w:color w:val="auto"/>
          <w:lang w:eastAsia="zh-CN"/>
        </w:rPr>
      </w:pPr>
      <w:r>
        <w:rPr>
          <w:rFonts w:hint="eastAsia"/>
          <w:b w:val="0"/>
          <w:bCs w:val="0"/>
          <w:color w:val="auto"/>
          <w:lang w:val="en-US" w:eastAsia="zh-CN"/>
        </w:rPr>
        <w:t>“资金支付准确率”指标，预期指标值为100%，实际完成为100%。</w:t>
      </w:r>
    </w:p>
    <w:p>
      <w:pPr>
        <w:bidi w:val="0"/>
        <w:rPr>
          <w:rFonts w:hint="eastAsia"/>
          <w:color w:val="auto"/>
          <w:lang w:eastAsia="zh-CN"/>
        </w:rPr>
      </w:pPr>
      <w:r>
        <w:rPr>
          <w:rFonts w:hint="eastAsia"/>
          <w:b/>
          <w:bCs/>
          <w:color w:val="auto"/>
          <w:lang w:val="en-US" w:eastAsia="zh-CN"/>
        </w:rPr>
        <w:t>综上，该项指标满分7分，得分7分。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项目完成时效</w:t>
      </w:r>
    </w:p>
    <w:p>
      <w:pPr>
        <w:numPr>
          <w:ilvl w:val="0"/>
          <w:numId w:val="0"/>
        </w:numPr>
        <w:bidi w:val="0"/>
        <w:ind w:firstLine="560" w:firstLineChars="200"/>
        <w:rPr>
          <w:rFonts w:hint="eastAsia"/>
          <w:b w:val="0"/>
          <w:bCs w:val="0"/>
          <w:color w:val="auto"/>
          <w:lang w:val="en-US" w:eastAsia="zh-CN"/>
        </w:rPr>
      </w:pPr>
      <w:r>
        <w:rPr>
          <w:rFonts w:hint="eastAsia"/>
          <w:b w:val="0"/>
          <w:bCs w:val="0"/>
          <w:color w:val="auto"/>
          <w:lang w:val="en-US" w:eastAsia="zh-CN"/>
        </w:rPr>
        <w:t>“资金拨付及时率”指标，预期指标值为100%，实际完成为100%。</w:t>
      </w:r>
    </w:p>
    <w:p>
      <w:pPr>
        <w:numPr>
          <w:ilvl w:val="0"/>
          <w:numId w:val="0"/>
        </w:numPr>
        <w:bidi w:val="0"/>
        <w:ind w:firstLine="560" w:firstLineChars="200"/>
        <w:rPr>
          <w:rFonts w:hint="eastAsia"/>
          <w:b w:val="0"/>
          <w:bCs w:val="0"/>
          <w:color w:val="auto"/>
          <w:lang w:eastAsia="zh-CN"/>
        </w:rPr>
      </w:pPr>
      <w:r>
        <w:rPr>
          <w:rFonts w:hint="eastAsia"/>
          <w:b w:val="0"/>
          <w:bCs w:val="0"/>
          <w:color w:val="auto"/>
          <w:lang w:val="en-US" w:eastAsia="zh-CN"/>
        </w:rPr>
        <w:t>“项目周期”指标，预期指标值为100%，实际完成为100%。</w:t>
      </w:r>
    </w:p>
    <w:p>
      <w:pPr>
        <w:bidi w:val="0"/>
        <w:rPr>
          <w:rFonts w:hint="eastAsia"/>
          <w:color w:val="auto"/>
          <w:lang w:eastAsia="zh-CN"/>
        </w:rPr>
      </w:pPr>
      <w:r>
        <w:rPr>
          <w:rFonts w:hint="eastAsia"/>
          <w:b/>
          <w:bCs/>
          <w:color w:val="auto"/>
          <w:lang w:val="en-US" w:eastAsia="zh-CN"/>
        </w:rPr>
        <w:t>综上，该项指标满分8分，得分8分。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项目完成成本</w:t>
      </w:r>
    </w:p>
    <w:p>
      <w:pPr>
        <w:numPr>
          <w:ilvl w:val="0"/>
          <w:numId w:val="0"/>
        </w:numPr>
        <w:bidi w:val="0"/>
        <w:ind w:firstLine="560" w:firstLineChars="200"/>
        <w:rPr>
          <w:rFonts w:hint="eastAsia"/>
          <w:b w:val="0"/>
          <w:bCs w:val="0"/>
          <w:color w:val="auto"/>
          <w:lang w:val="en-US" w:eastAsia="zh-CN"/>
        </w:rPr>
      </w:pPr>
      <w:r>
        <w:rPr>
          <w:rFonts w:hint="eastAsia"/>
          <w:b w:val="0"/>
          <w:bCs w:val="0"/>
          <w:color w:val="auto"/>
          <w:lang w:val="en-US" w:eastAsia="zh-CN"/>
        </w:rPr>
        <w:t>“项目前期费用”指标，预期指标值为≦92.2万元，实际完成为92.2万元。</w:t>
      </w:r>
    </w:p>
    <w:p>
      <w:pPr>
        <w:numPr>
          <w:ilvl w:val="0"/>
          <w:numId w:val="0"/>
        </w:numPr>
        <w:bidi w:val="0"/>
        <w:ind w:firstLine="560" w:firstLineChars="200"/>
        <w:rPr>
          <w:rFonts w:hint="eastAsia"/>
          <w:b w:val="0"/>
          <w:bCs w:val="0"/>
          <w:color w:val="auto"/>
          <w:lang w:val="en-US" w:eastAsia="zh-CN"/>
        </w:rPr>
      </w:pPr>
      <w:r>
        <w:rPr>
          <w:rFonts w:hint="eastAsia"/>
          <w:b w:val="0"/>
          <w:bCs w:val="0"/>
          <w:color w:val="auto"/>
          <w:lang w:val="en-US" w:eastAsia="zh-CN"/>
        </w:rPr>
        <w:t>“项目预算控制率”指标，预期指标值为100%，实际完成为100%。</w:t>
      </w:r>
    </w:p>
    <w:p>
      <w:pPr>
        <w:numPr>
          <w:ilvl w:val="0"/>
          <w:numId w:val="0"/>
        </w:numPr>
        <w:bidi w:val="0"/>
        <w:ind w:leftChars="200"/>
        <w:rPr>
          <w:rFonts w:hint="eastAsia"/>
          <w:b w:val="0"/>
          <w:bCs w:val="0"/>
          <w:color w:val="auto"/>
          <w:lang w:eastAsia="zh-CN"/>
        </w:rPr>
      </w:pPr>
      <w:r>
        <w:rPr>
          <w:rFonts w:hint="eastAsia"/>
          <w:b w:val="0"/>
          <w:bCs w:val="0"/>
          <w:color w:val="auto"/>
          <w:lang w:val="en-US" w:eastAsia="zh-CN"/>
        </w:rPr>
        <w:t>实际完成率=（92.2/92.2）×100%=100%。</w:t>
      </w:r>
    </w:p>
    <w:p>
      <w:pPr>
        <w:bidi w:val="0"/>
        <w:rPr>
          <w:rFonts w:hint="eastAsia"/>
          <w:color w:val="auto"/>
          <w:lang w:eastAsia="zh-CN"/>
        </w:rPr>
      </w:pPr>
      <w:r>
        <w:rPr>
          <w:rFonts w:hint="eastAsia"/>
          <w:b/>
          <w:bCs/>
          <w:color w:val="auto"/>
          <w:lang w:val="en-US" w:eastAsia="zh-CN"/>
        </w:rPr>
        <w:t>综上，该项指标满分7分，得分7分。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8</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default" w:ascii="宋体" w:hAnsi="宋体" w:eastAsia="宋体" w:cs="宋体"/>
          <w:color w:val="auto"/>
          <w:kern w:val="2"/>
          <w:highlight w:val="none"/>
          <w:u w:color="000000"/>
          <w:shd w:val="clear" w:color="auto" w:fill="auto"/>
          <w:lang w:val="en-US" w:eastAsia="zh-TW"/>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提升学历、保障地区经济发展所需技能型人才供给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91"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改善当地职业教育条件和水平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为当地培养技术人才数量及质量可持续</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numPr>
          <w:ilvl w:val="0"/>
          <w:numId w:val="0"/>
        </w:numPr>
        <w:bidi w:val="0"/>
        <w:rPr>
          <w:rFonts w:hint="eastAsia"/>
          <w:b/>
          <w:bCs/>
          <w:color w:val="auto"/>
          <w:lang w:val="en-US" w:eastAsia="zh-CN"/>
        </w:rPr>
      </w:pPr>
      <w:r>
        <w:rPr>
          <w:rFonts w:hint="eastAsia"/>
          <w:b/>
          <w:bCs/>
          <w:color w:val="auto"/>
          <w:lang w:val="en-US" w:eastAsia="zh-CN"/>
        </w:rPr>
        <w:t>1.经济效益指标</w:t>
      </w:r>
    </w:p>
    <w:p>
      <w:pPr>
        <w:numPr>
          <w:ilvl w:val="0"/>
          <w:numId w:val="0"/>
        </w:numPr>
        <w:bidi w:val="0"/>
        <w:ind w:firstLine="560" w:firstLineChars="200"/>
        <w:rPr>
          <w:rFonts w:hint="eastAsia"/>
          <w:b/>
          <w:bCs/>
          <w:color w:val="auto"/>
          <w:lang w:val="en-US" w:eastAsia="zh-CN"/>
        </w:rPr>
      </w:pPr>
      <w:r>
        <w:rPr>
          <w:rFonts w:hint="eastAsia"/>
          <w:color w:val="auto"/>
          <w:lang w:val="en-US" w:eastAsia="zh-CN"/>
        </w:rPr>
        <w:t>无经济效益指标。</w:t>
      </w:r>
    </w:p>
    <w:p>
      <w:pPr>
        <w:numPr>
          <w:ilvl w:val="0"/>
          <w:numId w:val="0"/>
        </w:numPr>
        <w:bidi w:val="0"/>
        <w:rPr>
          <w:rFonts w:hint="eastAsia"/>
          <w:b/>
          <w:bCs/>
          <w:color w:val="auto"/>
          <w:lang w:val="en-US" w:eastAsia="zh-CN"/>
        </w:rPr>
      </w:pPr>
      <w:r>
        <w:rPr>
          <w:rFonts w:hint="eastAsia"/>
          <w:b/>
          <w:bCs/>
          <w:color w:val="auto"/>
          <w:lang w:val="en-US" w:eastAsia="zh-CN"/>
        </w:rPr>
        <w:t>2.社会效益指标</w:t>
      </w:r>
    </w:p>
    <w:p>
      <w:pPr>
        <w:numPr>
          <w:ilvl w:val="0"/>
          <w:numId w:val="0"/>
        </w:numPr>
        <w:bidi w:val="0"/>
        <w:ind w:firstLine="560" w:firstLineChars="200"/>
        <w:rPr>
          <w:rFonts w:hint="eastAsia"/>
          <w:color w:val="auto"/>
          <w:lang w:val="en-US" w:eastAsia="zh-CN"/>
        </w:rPr>
      </w:pPr>
      <w:r>
        <w:rPr>
          <w:rFonts w:hint="eastAsia"/>
          <w:color w:val="auto"/>
          <w:lang w:val="en-US" w:eastAsia="zh-CN"/>
        </w:rPr>
        <w:t>“提升学历、保障地区经济发展所需技能型人才供给”指标，预期指标值为保障，实际完成为100%。</w:t>
      </w:r>
    </w:p>
    <w:p>
      <w:pPr>
        <w:numPr>
          <w:ilvl w:val="0"/>
          <w:numId w:val="0"/>
        </w:numPr>
        <w:bidi w:val="0"/>
        <w:ind w:firstLine="560" w:firstLineChars="200"/>
        <w:rPr>
          <w:rFonts w:hint="default"/>
          <w:color w:val="auto"/>
          <w:lang w:val="en-US" w:eastAsia="zh-CN"/>
        </w:rPr>
      </w:pPr>
      <w:r>
        <w:rPr>
          <w:rFonts w:hint="eastAsia"/>
          <w:color w:val="auto"/>
          <w:lang w:val="en-US" w:eastAsia="zh-CN"/>
        </w:rPr>
        <w:t>“改善当地职业教育条件和水平”指标，预期指标值为改善，实际完成为100%。通过项目的实施，改善了当地职业教育条件和水平，保障地区经济发展所需技能型人才供给。</w:t>
      </w:r>
    </w:p>
    <w:p>
      <w:pPr>
        <w:bidi w:val="0"/>
        <w:rPr>
          <w:rFonts w:hint="eastAsia"/>
          <w:color w:val="auto"/>
          <w:lang w:val="en-US" w:eastAsia="zh-CN"/>
        </w:rPr>
      </w:pPr>
      <w:r>
        <w:rPr>
          <w:rFonts w:hint="eastAsia"/>
          <w:b/>
          <w:bCs/>
          <w:color w:val="auto"/>
          <w:lang w:val="en-US" w:eastAsia="zh-CN"/>
        </w:rPr>
        <w:t>综上，该项指标满分10分，得分10分。</w:t>
      </w:r>
    </w:p>
    <w:p>
      <w:pPr>
        <w:numPr>
          <w:ilvl w:val="0"/>
          <w:numId w:val="0"/>
        </w:numPr>
        <w:bidi w:val="0"/>
        <w:rPr>
          <w:rFonts w:hint="eastAsia"/>
          <w:b/>
          <w:bCs/>
          <w:color w:val="auto"/>
          <w:lang w:val="en-US" w:eastAsia="zh-CN"/>
        </w:rPr>
      </w:pPr>
      <w:r>
        <w:rPr>
          <w:rFonts w:hint="eastAsia"/>
          <w:b/>
          <w:bCs/>
          <w:color w:val="auto"/>
          <w:lang w:val="en-US" w:eastAsia="zh-CN"/>
        </w:rPr>
        <w:t>3.生态效益指标</w:t>
      </w:r>
    </w:p>
    <w:p>
      <w:pPr>
        <w:bidi w:val="0"/>
        <w:rPr>
          <w:rFonts w:hint="eastAsia"/>
          <w:b/>
          <w:bCs/>
          <w:color w:val="auto"/>
          <w:lang w:val="en-US" w:eastAsia="zh-CN"/>
        </w:rPr>
      </w:pPr>
      <w:r>
        <w:rPr>
          <w:rFonts w:hint="eastAsia"/>
          <w:color w:val="auto"/>
          <w:lang w:val="en-US" w:eastAsia="zh-CN"/>
        </w:rPr>
        <w:t>无生态效益指标。</w:t>
      </w:r>
    </w:p>
    <w:p>
      <w:pPr>
        <w:numPr>
          <w:ilvl w:val="0"/>
          <w:numId w:val="0"/>
        </w:numPr>
        <w:bidi w:val="0"/>
        <w:rPr>
          <w:rFonts w:hint="eastAsia"/>
          <w:b/>
          <w:bCs/>
          <w:color w:val="auto"/>
          <w:lang w:val="en-US" w:eastAsia="zh-CN"/>
        </w:rPr>
      </w:pPr>
      <w:r>
        <w:rPr>
          <w:rFonts w:hint="eastAsia"/>
          <w:b/>
          <w:bCs/>
          <w:color w:val="auto"/>
          <w:lang w:val="en-US" w:eastAsia="zh-CN"/>
        </w:rPr>
        <w:t>4.可持续影响指标</w:t>
      </w:r>
    </w:p>
    <w:p>
      <w:pPr>
        <w:numPr>
          <w:ilvl w:val="0"/>
          <w:numId w:val="0"/>
        </w:numPr>
        <w:bidi w:val="0"/>
        <w:ind w:firstLine="560" w:firstLineChars="200"/>
        <w:rPr>
          <w:rFonts w:hint="eastAsia"/>
          <w:color w:val="auto"/>
          <w:lang w:val="en-US" w:eastAsia="zh-CN"/>
        </w:rPr>
      </w:pPr>
      <w:r>
        <w:rPr>
          <w:rFonts w:hint="eastAsia"/>
          <w:color w:val="auto"/>
          <w:lang w:val="en-US" w:eastAsia="zh-CN"/>
        </w:rPr>
        <w:t>“为当地培养技术人才数量及质量可持续”指标，预期指标值为长期，实际完成为100%。</w:t>
      </w:r>
      <w:r>
        <w:rPr>
          <w:rFonts w:hint="eastAsia"/>
          <w:b w:val="0"/>
          <w:bCs w:val="0"/>
          <w:color w:val="auto"/>
          <w:lang w:val="en-US" w:eastAsia="zh-CN"/>
        </w:rPr>
        <w:t>通过项目的实施，为当地培养技术人才，促进社会、经济发展。</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color w:val="auto"/>
          <w:lang w:val="en-US" w:eastAsia="zh-CN"/>
        </w:rPr>
      </w:pPr>
      <w:r>
        <w:rPr>
          <w:rFonts w:hint="eastAsia"/>
          <w:color w:val="auto"/>
          <w:lang w:val="en-US" w:eastAsia="zh-CN"/>
        </w:rPr>
        <w:t>“学校满意度”指标，预期指标值为≥90%，实际完成为100%。</w:t>
      </w:r>
    </w:p>
    <w:p>
      <w:pPr>
        <w:bidi w:val="0"/>
        <w:rPr>
          <w:rFonts w:hint="eastAsia"/>
          <w:b/>
          <w:bCs/>
          <w:color w:val="auto"/>
          <w:lang w:val="en-US" w:eastAsia="zh-CN"/>
        </w:rPr>
      </w:pPr>
      <w:r>
        <w:rPr>
          <w:rFonts w:hint="eastAsia"/>
          <w:b/>
          <w:bCs/>
          <w:color w:val="auto"/>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cs="宋体"/>
          <w:b/>
          <w:bCs/>
          <w:color w:val="auto"/>
          <w:highlight w:val="none"/>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lang w:val="en-US" w:eastAsia="zh-CN"/>
        </w:rPr>
        <w:t>预算执行进度与指标偏差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olor w:val="auto"/>
          <w:lang w:val="en-US"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b/>
          <w:bCs/>
          <w:color w:val="auto"/>
          <w:lang w:val="en-US" w:eastAsia="zh-CN"/>
        </w:rPr>
        <w:t>92.2</w:t>
      </w:r>
      <w:r>
        <w:rPr>
          <w:rFonts w:hint="eastAsia" w:cs="仿宋_GB2312"/>
          <w:color w:val="auto"/>
          <w:sz w:val="28"/>
          <w:szCs w:val="28"/>
          <w:lang w:val="en-US" w:eastAsia="zh-CN"/>
        </w:rPr>
        <w:t>万元，全年执行数为</w:t>
      </w:r>
      <w:r>
        <w:rPr>
          <w:rFonts w:hint="eastAsia"/>
          <w:b/>
          <w:bCs/>
          <w:color w:val="auto"/>
          <w:lang w:val="en-US" w:eastAsia="zh-CN"/>
        </w:rPr>
        <w:t>92.2</w:t>
      </w:r>
      <w:r>
        <w:rPr>
          <w:rFonts w:hint="eastAsia" w:cs="仿宋_GB2312"/>
          <w:color w:val="auto"/>
          <w:sz w:val="28"/>
          <w:szCs w:val="28"/>
          <w:lang w:val="en-US" w:eastAsia="zh-CN"/>
        </w:rPr>
        <w:t>万元，预算执行率为100%，</w:t>
      </w:r>
      <w:r>
        <w:rPr>
          <w:rFonts w:hint="eastAsia" w:cs="仿宋_GB2312"/>
          <w:color w:val="auto"/>
          <w:sz w:val="28"/>
          <w:szCs w:val="28"/>
          <w:lang w:eastAsia="zh-CN"/>
        </w:rPr>
        <w:t>总体完成率为</w:t>
      </w:r>
      <w:r>
        <w:rPr>
          <w:rFonts w:hint="eastAsia"/>
          <w:b/>
          <w:bCs/>
          <w:color w:val="auto"/>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预算执行率与总体完成率之间的偏差为无</w:t>
      </w:r>
      <w:r>
        <w:rPr>
          <w:rFonts w:hint="eastAsia"/>
          <w:color w:val="auto"/>
        </w:rPr>
        <w:t>偏差</w:t>
      </w:r>
      <w:r>
        <w:rPr>
          <w:rFonts w:hint="eastAsia" w:ascii="仿宋_GB2312" w:hAnsi="仿宋_GB2312" w:cs="仿宋_GB2312"/>
          <w:color w:val="auto"/>
          <w:sz w:val="28"/>
          <w:szCs w:val="28"/>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职业教育楼房及附属基础设施设备项目前期费用项目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92.2</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92.2</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阜康市职业中等专业学校</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阜康市职业中等专业学校</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ascii="宋体" w:hAnsi="宋体" w:eastAsia="宋体" w:cs="宋体"/>
          <w:b w:val="0"/>
          <w:bCs w:val="0"/>
          <w:color w:val="auto"/>
          <w:sz w:val="28"/>
          <w:szCs w:val="28"/>
          <w:shd w:val="clear" w:color="auto" w:fill="auto"/>
          <w:lang w:val="en-US"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1.业务人员绩效管理意识有待增强，未能全面深入认识理解绩效管理工作的意义。绩效管理经验不足，预算绩效管理工作有待进一步落实。</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2.绩效指标的明确性、可衡量性、相关性还需进一步提升。预算精细化管理还需完善，预算编制管理水平仍有进一步提升的空间。</w:t>
      </w:r>
    </w:p>
    <w:p>
      <w:pPr>
        <w:rPr>
          <w:rFonts w:hint="eastAsia"/>
          <w:color w:val="auto"/>
          <w:lang w:val="en-US" w:eastAsia="zh-CN"/>
        </w:rPr>
      </w:pPr>
      <w:r>
        <w:rPr>
          <w:rFonts w:hint="eastAsia"/>
          <w:color w:val="auto"/>
          <w:lang w:val="en-US" w:eastAsia="zh-CN"/>
        </w:rPr>
        <w:t>原因分析：</w:t>
      </w:r>
    </w:p>
    <w:p>
      <w:pPr>
        <w:rPr>
          <w:rFonts w:hint="eastAsia"/>
          <w:color w:val="auto"/>
          <w:lang w:val="en-US" w:eastAsia="zh-CN"/>
        </w:rPr>
      </w:pPr>
      <w:r>
        <w:rPr>
          <w:rFonts w:hint="eastAsia"/>
          <w:color w:val="auto"/>
          <w:lang w:val="en-US" w:eastAsia="zh-CN"/>
        </w:rPr>
        <w:t>对预算绩效管理、绩效理念尚未真正贯穿于实践工作，对于指标的编制还不够完善。没有将项目的申报、立项审批、实施流程、项目验收等环节全部纳入统一管理。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bidi w:val="0"/>
        <w:rPr>
          <w:rFonts w:hint="eastAsia" w:cs="宋体"/>
          <w:b w:val="0"/>
          <w:bCs w:val="0"/>
          <w:color w:val="auto"/>
          <w:lang w:val="en-US" w:eastAsia="zh-CN"/>
        </w:rPr>
      </w:pPr>
      <w:r>
        <w:rPr>
          <w:rFonts w:hint="eastAsia" w:cs="宋体"/>
          <w:b w:val="0"/>
          <w:bCs w:val="0"/>
          <w:color w:val="auto"/>
          <w:lang w:val="en-US" w:eastAsia="zh-CN"/>
        </w:rPr>
        <w:t>1.加强预算绩效目标管理工作。明确预算项目绩效目标编制要求，分类别建立科学合理、细化量化、可比可测预算绩效指标体系，突出结果导向，重点考核实绩。</w:t>
      </w:r>
    </w:p>
    <w:p>
      <w:pPr>
        <w:bidi w:val="0"/>
        <w:rPr>
          <w:rFonts w:hint="eastAsia" w:ascii="宋体" w:hAnsi="宋体" w:eastAsia="宋体" w:cs="宋体"/>
          <w:b w:val="0"/>
          <w:bCs w:val="0"/>
          <w:color w:val="auto"/>
          <w:lang w:eastAsia="zh-CN"/>
        </w:rPr>
      </w:pPr>
      <w:r>
        <w:rPr>
          <w:rFonts w:hint="eastAsia" w:cs="宋体"/>
          <w:b w:val="0"/>
          <w:bCs w:val="0"/>
          <w:color w:val="auto"/>
          <w:lang w:val="en-US" w:eastAsia="zh-CN"/>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eastAsia="zh-CN"/>
        </w:rPr>
        <w:t>八</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tbl>
      <w:tblPr>
        <w:tblStyle w:val="9"/>
        <w:tblW w:w="10040" w:type="dxa"/>
        <w:jc w:val="center"/>
        <w:tblLayout w:type="fixed"/>
        <w:tblCellMar>
          <w:top w:w="0" w:type="dxa"/>
          <w:left w:w="108" w:type="dxa"/>
          <w:bottom w:w="0" w:type="dxa"/>
          <w:right w:w="108" w:type="dxa"/>
        </w:tblCellMar>
      </w:tblPr>
      <w:tblGrid>
        <w:gridCol w:w="650"/>
        <w:gridCol w:w="808"/>
        <w:gridCol w:w="1140"/>
        <w:gridCol w:w="1171"/>
        <w:gridCol w:w="1253"/>
        <w:gridCol w:w="1236"/>
        <w:gridCol w:w="960"/>
        <w:gridCol w:w="313"/>
        <w:gridCol w:w="313"/>
        <w:gridCol w:w="470"/>
        <w:gridCol w:w="156"/>
        <w:gridCol w:w="784"/>
        <w:gridCol w:w="786"/>
      </w:tblGrid>
      <w:tr>
        <w:tblPrEx>
          <w:tblCellMar>
            <w:top w:w="0" w:type="dxa"/>
            <w:left w:w="108" w:type="dxa"/>
            <w:bottom w:w="0" w:type="dxa"/>
            <w:right w:w="108" w:type="dxa"/>
          </w:tblCellMar>
        </w:tblPrEx>
        <w:trPr>
          <w:trHeight w:val="457" w:hRule="exact"/>
          <w:jc w:val="center"/>
        </w:trPr>
        <w:tc>
          <w:tcPr>
            <w:tcW w:w="10040" w:type="dxa"/>
            <w:gridSpan w:val="13"/>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410" w:hRule="atLeast"/>
          <w:jc w:val="center"/>
        </w:trPr>
        <w:tc>
          <w:tcPr>
            <w:tcW w:w="10040" w:type="dxa"/>
            <w:gridSpan w:val="13"/>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w:t>
            </w:r>
            <w:r>
              <w:rPr>
                <w:rFonts w:hint="eastAsia" w:cs="宋体"/>
                <w:color w:val="auto"/>
                <w:kern w:val="0"/>
                <w:sz w:val="22"/>
                <w:szCs w:val="22"/>
                <w:lang w:val="en-US" w:eastAsia="zh-CN"/>
              </w:rPr>
              <w:t>2022</w:t>
            </w:r>
            <w:r>
              <w:rPr>
                <w:rFonts w:hint="eastAsia" w:ascii="宋体" w:hAnsi="宋体" w:eastAsia="宋体" w:cs="宋体"/>
                <w:color w:val="auto"/>
                <w:kern w:val="0"/>
                <w:sz w:val="22"/>
                <w:szCs w:val="22"/>
              </w:rPr>
              <w:t>年度）</w:t>
            </w:r>
          </w:p>
        </w:tc>
      </w:tr>
      <w:tr>
        <w:tblPrEx>
          <w:tblCellMar>
            <w:top w:w="0" w:type="dxa"/>
            <w:left w:w="108" w:type="dxa"/>
            <w:bottom w:w="0" w:type="dxa"/>
            <w:right w:w="108" w:type="dxa"/>
          </w:tblCellMar>
        </w:tblPrEx>
        <w:trPr>
          <w:trHeight w:val="302" w:hRule="exact"/>
          <w:jc w:val="center"/>
        </w:trPr>
        <w:tc>
          <w:tcPr>
            <w:tcW w:w="145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8582"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职业教育楼房及附属基础设施设备项目前期费用</w:t>
            </w:r>
          </w:p>
        </w:tc>
      </w:tr>
      <w:tr>
        <w:tblPrEx>
          <w:tblCellMar>
            <w:top w:w="0" w:type="dxa"/>
            <w:left w:w="108" w:type="dxa"/>
            <w:bottom w:w="0" w:type="dxa"/>
            <w:right w:w="108" w:type="dxa"/>
          </w:tblCellMar>
        </w:tblPrEx>
        <w:trPr>
          <w:trHeight w:val="302" w:hRule="exact"/>
          <w:jc w:val="center"/>
        </w:trPr>
        <w:tc>
          <w:tcPr>
            <w:tcW w:w="145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800"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阜康市职业中等专业学校</w:t>
            </w:r>
          </w:p>
        </w:tc>
        <w:tc>
          <w:tcPr>
            <w:tcW w:w="127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50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阜康市职业中等专业学校</w:t>
            </w:r>
          </w:p>
        </w:tc>
      </w:tr>
      <w:tr>
        <w:tblPrEx>
          <w:tblCellMar>
            <w:top w:w="0" w:type="dxa"/>
            <w:left w:w="108" w:type="dxa"/>
            <w:bottom w:w="0" w:type="dxa"/>
            <w:right w:w="108" w:type="dxa"/>
          </w:tblCellMar>
        </w:tblPrEx>
        <w:trPr>
          <w:trHeight w:val="302" w:hRule="exact"/>
          <w:jc w:val="center"/>
        </w:trPr>
        <w:tc>
          <w:tcPr>
            <w:tcW w:w="145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项目资金</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（万元）</w:t>
            </w:r>
          </w:p>
        </w:tc>
        <w:tc>
          <w:tcPr>
            <w:tcW w:w="23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25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27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8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2" w:hRule="exact"/>
          <w:jc w:val="center"/>
        </w:trPr>
        <w:tc>
          <w:tcPr>
            <w:tcW w:w="145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3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25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92.2</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92.2</w:t>
            </w:r>
          </w:p>
        </w:tc>
        <w:tc>
          <w:tcPr>
            <w:tcW w:w="127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92.2</w:t>
            </w:r>
          </w:p>
        </w:tc>
        <w:tc>
          <w:tcPr>
            <w:tcW w:w="7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78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r>
      <w:tr>
        <w:tblPrEx>
          <w:tblCellMar>
            <w:top w:w="0" w:type="dxa"/>
            <w:left w:w="108" w:type="dxa"/>
            <w:bottom w:w="0" w:type="dxa"/>
            <w:right w:w="108" w:type="dxa"/>
          </w:tblCellMar>
        </w:tblPrEx>
        <w:trPr>
          <w:trHeight w:val="302" w:hRule="exact"/>
          <w:jc w:val="center"/>
        </w:trPr>
        <w:tc>
          <w:tcPr>
            <w:tcW w:w="145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3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25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92.2</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92.2</w:t>
            </w:r>
          </w:p>
        </w:tc>
        <w:tc>
          <w:tcPr>
            <w:tcW w:w="127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92.2</w:t>
            </w:r>
          </w:p>
        </w:tc>
        <w:tc>
          <w:tcPr>
            <w:tcW w:w="7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8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2" w:hRule="exact"/>
          <w:jc w:val="center"/>
        </w:trPr>
        <w:tc>
          <w:tcPr>
            <w:tcW w:w="145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3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25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27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8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2" w:hRule="exact"/>
          <w:jc w:val="center"/>
        </w:trPr>
        <w:tc>
          <w:tcPr>
            <w:tcW w:w="145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3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25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27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8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2" w:hRule="exact"/>
          <w:jc w:val="center"/>
        </w:trPr>
        <w:tc>
          <w:tcPr>
            <w:tcW w:w="65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60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78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2291" w:hRule="exact"/>
          <w:jc w:val="center"/>
        </w:trPr>
        <w:tc>
          <w:tcPr>
            <w:tcW w:w="6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0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职能：为社会提供学历、技术人才教育培训服务成人与职业专业学历教育</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目标：新建6栋楼前期费用,改善当地职业教育条件和水平,提升学历、保障地区经济发展所需技能型人才供给,为社会、学校和学生培养技术人才数量及质量可持续</w:t>
            </w:r>
          </w:p>
        </w:tc>
        <w:tc>
          <w:tcPr>
            <w:tcW w:w="378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截止2022年12月底，本单位完成6栋楼前期基础建设，项目资金支持学校1所，工程验收合格率达到100%，资金支付准确率达到100%，资金拨付及时率达到100%，项目在项目周期内完成率达到100%，项目预算控制率达到100%,达到改善当地职业教育条件和水平，提升学历、保障地区经济发展所需技能型人才供给，为当地培养技术人才数量及质量可持续效益，满意度达到100%。</w:t>
            </w:r>
          </w:p>
        </w:tc>
      </w:tr>
      <w:tr>
        <w:tblPrEx>
          <w:tblCellMar>
            <w:top w:w="0" w:type="dxa"/>
            <w:left w:w="108" w:type="dxa"/>
            <w:bottom w:w="0" w:type="dxa"/>
            <w:right w:w="108" w:type="dxa"/>
          </w:tblCellMar>
        </w:tblPrEx>
        <w:trPr>
          <w:trHeight w:val="566" w:hRule="exact"/>
          <w:jc w:val="center"/>
        </w:trPr>
        <w:tc>
          <w:tcPr>
            <w:tcW w:w="650"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绩</w:t>
            </w:r>
          </w:p>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效</w:t>
            </w:r>
          </w:p>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指</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标</w:t>
            </w:r>
          </w:p>
        </w:tc>
        <w:tc>
          <w:tcPr>
            <w:tcW w:w="8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4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指标1：项目资金支持学校</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1所</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1所</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9</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9</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指标2：计划建楼前期费用</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6栋</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6栋</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7</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7</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指标1：工程验收合格率</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8</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8</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指标2：资金支付准确率</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5</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指标1：资金拨付及时率</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8</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8</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指标2：项目周期</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2021.8-2022.12</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2021.8-2022.12</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5</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指标1：附属设施前期成本</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≤22.2万元</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cs="宋体"/>
                <w:color w:val="auto"/>
                <w:kern w:val="0"/>
                <w:sz w:val="18"/>
                <w:szCs w:val="18"/>
                <w:lang w:val="en-US" w:eastAsia="zh-CN"/>
              </w:rPr>
              <w:t>22.2万元</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2</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2</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指标2：职业教育楼房前期费用</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rPr>
            </w:pPr>
            <w:r>
              <w:rPr>
                <w:rFonts w:hint="eastAsia" w:cs="宋体"/>
                <w:color w:val="auto"/>
                <w:kern w:val="0"/>
                <w:sz w:val="18"/>
                <w:szCs w:val="18"/>
                <w:lang w:val="en-US" w:eastAsia="zh-CN"/>
              </w:rPr>
              <w:t>≤90万元</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cs="宋体"/>
                <w:color w:val="auto"/>
                <w:kern w:val="0"/>
                <w:sz w:val="18"/>
                <w:szCs w:val="18"/>
                <w:lang w:val="en-US" w:eastAsia="zh-CN"/>
              </w:rPr>
              <w:t>90万元</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2</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2</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项目预算控制率</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4</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4</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197"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指标1：改善当地职业教育条件和水平</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改善</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12</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12</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81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指标2：提升学历、保障地区经济发展所需技能型人才供给</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保障</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12</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12</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197"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生态效益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197"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可持续影响指标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指标1：为当地培养技术人才数量及质量可持续</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长期</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6</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6</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指标1：学校满意度</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≥90%</w:t>
            </w: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10</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2" w:hRule="exact"/>
          <w:jc w:val="center"/>
        </w:trPr>
        <w:tc>
          <w:tcPr>
            <w:tcW w:w="650"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08"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42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2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6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12" w:hRule="exact"/>
          <w:jc w:val="center"/>
        </w:trPr>
        <w:tc>
          <w:tcPr>
            <w:tcW w:w="7218" w:type="dxa"/>
            <w:gridSpan w:val="7"/>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62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157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②项目立项是否符合行业发展规划和政策要求；</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①项目是否按照规定的程序申请设立；</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②审批文件、材料是否符合相关要求；</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（如未设定预算绩效目标，也可考核其他工作任务目标）</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①项目是否有绩效目标；</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②项目绩效目标与实际工作内容是否具有相关性；</w:t>
            </w:r>
          </w:p>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①是否将项目绩效目标细化分解为具体的绩效指标；</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②是否通过清晰、可衡量的指标值予以体现；</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③是否与项目目标任务数或计划数相对应。</w:t>
            </w:r>
          </w:p>
          <w:p>
            <w:pPr>
              <w:pStyle w:val="2"/>
              <w:rPr>
                <w:rFonts w:hint="eastAsia"/>
                <w:lang w:eastAsia="zh-CN"/>
              </w:rPr>
            </w:pP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①预算编制是否经过科学论证；</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②预算内容与项目内容是否匹配；</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③预算额度测算依据是否充分，是否按照标准编制；</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①预算资金分配依据是否充分；</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预算执行率=（实际支出资金/实际到位资金）×100%。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②资金的拨付是否有完整的审批程序和手续；</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③是否符合项目预算批复或合同规定的用途；</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①是否已制定或具有相应的财务和业务管理制度；</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01"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①是否遵守相关法律法规和相关管理规定；</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②项目调整及支出调整手续是否完备；</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③项目合同书、验收报告、技术鉴定等资料是否齐全并及时归档；</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EF8790FC"/>
    <w:multiLevelType w:val="singleLevel"/>
    <w:tmpl w:val="EF8790FC"/>
    <w:lvl w:ilvl="0" w:tentative="0">
      <w:start w:val="1"/>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45B99126"/>
    <w:multiLevelType w:val="singleLevel"/>
    <w:tmpl w:val="45B99126"/>
    <w:lvl w:ilvl="0" w:tentative="0">
      <w:start w:val="4"/>
      <w:numFmt w:val="decimal"/>
      <w:lvlText w:val="%1."/>
      <w:lvlJc w:val="left"/>
      <w:pPr>
        <w:tabs>
          <w:tab w:val="left" w:pos="312"/>
        </w:tabs>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53E33E3"/>
    <w:rsid w:val="07110764"/>
    <w:rsid w:val="07890F4F"/>
    <w:rsid w:val="09781BD6"/>
    <w:rsid w:val="0D4452F3"/>
    <w:rsid w:val="0DAD5625"/>
    <w:rsid w:val="0F5E5042"/>
    <w:rsid w:val="10510571"/>
    <w:rsid w:val="11FA6155"/>
    <w:rsid w:val="12245DF9"/>
    <w:rsid w:val="12CF0947"/>
    <w:rsid w:val="12F1313F"/>
    <w:rsid w:val="136C678E"/>
    <w:rsid w:val="13A01445"/>
    <w:rsid w:val="13EB2FF5"/>
    <w:rsid w:val="165825BC"/>
    <w:rsid w:val="165C2FF3"/>
    <w:rsid w:val="176F36D7"/>
    <w:rsid w:val="18456B1E"/>
    <w:rsid w:val="1A671A1D"/>
    <w:rsid w:val="1B92655B"/>
    <w:rsid w:val="1C1171C5"/>
    <w:rsid w:val="1DA41A79"/>
    <w:rsid w:val="1DF53469"/>
    <w:rsid w:val="1E58492F"/>
    <w:rsid w:val="1E5B6757"/>
    <w:rsid w:val="1ED10AC6"/>
    <w:rsid w:val="1FC0575D"/>
    <w:rsid w:val="200C166A"/>
    <w:rsid w:val="21B00C1D"/>
    <w:rsid w:val="23031BEB"/>
    <w:rsid w:val="23917691"/>
    <w:rsid w:val="244D65B8"/>
    <w:rsid w:val="245E1E24"/>
    <w:rsid w:val="27661469"/>
    <w:rsid w:val="27900EAD"/>
    <w:rsid w:val="279B538A"/>
    <w:rsid w:val="286F545C"/>
    <w:rsid w:val="29314FBC"/>
    <w:rsid w:val="2C927671"/>
    <w:rsid w:val="2C946C73"/>
    <w:rsid w:val="2D7C5CD6"/>
    <w:rsid w:val="2E483E7E"/>
    <w:rsid w:val="2F454B19"/>
    <w:rsid w:val="31E3230A"/>
    <w:rsid w:val="33356F64"/>
    <w:rsid w:val="33944516"/>
    <w:rsid w:val="34B62907"/>
    <w:rsid w:val="37804BDF"/>
    <w:rsid w:val="38782EDD"/>
    <w:rsid w:val="3B42664A"/>
    <w:rsid w:val="3CB627C0"/>
    <w:rsid w:val="3D836A4E"/>
    <w:rsid w:val="3FBE0BC5"/>
    <w:rsid w:val="4048103A"/>
    <w:rsid w:val="435241E2"/>
    <w:rsid w:val="439E3FA7"/>
    <w:rsid w:val="44B32266"/>
    <w:rsid w:val="44D248BF"/>
    <w:rsid w:val="44FC64F4"/>
    <w:rsid w:val="467F4585"/>
    <w:rsid w:val="468F47FD"/>
    <w:rsid w:val="470628CB"/>
    <w:rsid w:val="47555BD4"/>
    <w:rsid w:val="48E12B50"/>
    <w:rsid w:val="499441BE"/>
    <w:rsid w:val="4A2138F0"/>
    <w:rsid w:val="4A583887"/>
    <w:rsid w:val="4B9F6E02"/>
    <w:rsid w:val="4C5A196E"/>
    <w:rsid w:val="4E6E48A8"/>
    <w:rsid w:val="4EEC036B"/>
    <w:rsid w:val="501D2673"/>
    <w:rsid w:val="51852833"/>
    <w:rsid w:val="53555F0F"/>
    <w:rsid w:val="583C7AE0"/>
    <w:rsid w:val="59216F96"/>
    <w:rsid w:val="5B9D2CCD"/>
    <w:rsid w:val="67394C7D"/>
    <w:rsid w:val="68126B38"/>
    <w:rsid w:val="68291A1A"/>
    <w:rsid w:val="691B1594"/>
    <w:rsid w:val="6A17429C"/>
    <w:rsid w:val="6A567EA3"/>
    <w:rsid w:val="6B4B4368"/>
    <w:rsid w:val="6E557973"/>
    <w:rsid w:val="6F0D6C22"/>
    <w:rsid w:val="6F47657F"/>
    <w:rsid w:val="70670707"/>
    <w:rsid w:val="720E3691"/>
    <w:rsid w:val="72B37A31"/>
    <w:rsid w:val="732764B3"/>
    <w:rsid w:val="75E5007C"/>
    <w:rsid w:val="77861774"/>
    <w:rsid w:val="79300B45"/>
    <w:rsid w:val="794D3E18"/>
    <w:rsid w:val="79F3729A"/>
    <w:rsid w:val="7ACB0498"/>
    <w:rsid w:val="7AED0B4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12711</Words>
  <Characters>13302</Characters>
  <Lines>0</Lines>
  <Paragraphs>0</Paragraphs>
  <TotalTime>0</TotalTime>
  <ScaleCrop>false</ScaleCrop>
  <LinksUpToDate>false</LinksUpToDate>
  <CharactersWithSpaces>13353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EF5659E28D394DA088E24C380EC5548A_13</vt:lpwstr>
  </property>
</Properties>
</file>